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Riviera Malibu Residences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30-storey building on 2 rai 275 square wa of land, very exclusive, only 279 rooms, the most luxurious, Up Level from a previous project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✅4 floors of parking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✅Residential building starting on the 5th floor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Size: 1 bedroom, starting from floors 5-25, starting at 31-57 sq m.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Prices start at 3.1-8.2 million baht.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Size: 2 bedrooms, starting from floors 5-12, starting at 54-112 sq m.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Prices start at 7.23-15.12 million baht.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Size: 3 bedrooms, starting from floors 11-27, starting at 98-214 sq m.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Prices start at 14.8-34.2 million baht.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Size: 4 bedrooms, starting from floors 11-12, starting at 276 sq m.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Prices start at 41.4-42.78 million baht.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Facilities: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✅Floor B - Laundry and cloakroom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✅Floor B-4 - Car parking building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✅3rd floor - state-of-the-art bowling room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✅4th Floor - 2 golf driving rooms, 15 seat private movie theater, tennis table.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✅5th floor - Onsen room, sauna, stream, separated for men and women, and lounge area for relaxation.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✅18th Floor - Sky Pool and Luxury Gym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✅28th Floor - Sky View and Sky Bar Restaurant Zone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✅29th Floor - Residence Lounge, Kids Club and Arcade Game Room With sky garden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✅30th Floor - Sky Pool and Sunset Bar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Maintenance fee 50 baht per square meters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Sinking fun 500 baht per square meters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